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E" w:rsidRDefault="00BD74EE" w:rsidP="00BD74EE">
      <w:pPr>
        <w:pStyle w:val="3"/>
        <w:spacing w:beforeLines="100" w:before="312"/>
        <w:ind w:firstLineChars="0" w:firstLine="0"/>
        <w:rPr>
          <w:rFonts w:ascii="黑体" w:hAnsi="宋体"/>
          <w:b w:val="0"/>
          <w:kern w:val="0"/>
        </w:rPr>
      </w:pPr>
      <w:bookmarkStart w:id="0" w:name="_Toc519755605"/>
      <w:bookmarkStart w:id="1" w:name="_Toc522372972"/>
      <w:bookmarkStart w:id="2" w:name="_GoBack"/>
      <w:bookmarkEnd w:id="2"/>
      <w:r>
        <w:rPr>
          <w:rFonts w:ascii="黑体" w:hAnsi="宋体" w:hint="eastAsia"/>
          <w:b w:val="0"/>
          <w:kern w:val="0"/>
        </w:rPr>
        <w:t>北京师范大学本科生毕业论文（设计）查重管理办法</w:t>
      </w:r>
      <w:bookmarkEnd w:id="0"/>
      <w:bookmarkEnd w:id="1"/>
    </w:p>
    <w:p w:rsidR="00BD74EE" w:rsidRDefault="00BD74EE" w:rsidP="00A25C57">
      <w:pPr>
        <w:pStyle w:val="a3"/>
        <w:spacing w:beforeLines="50" w:before="156" w:afterLines="50" w:after="156"/>
        <w:ind w:firstLineChars="0" w:firstLine="0"/>
        <w:rPr>
          <w:rFonts w:cs="宋体"/>
          <w:b/>
          <w:sz w:val="24"/>
          <w:lang w:val="zh-CN"/>
        </w:rPr>
      </w:pPr>
      <w:r>
        <w:rPr>
          <w:rFonts w:ascii="楷体_GB2312" w:hint="eastAsia"/>
          <w:sz w:val="24"/>
        </w:rPr>
        <w:t>师教文[2016]109号</w:t>
      </w:r>
    </w:p>
    <w:p w:rsidR="00BD74EE" w:rsidRDefault="00BD74EE" w:rsidP="009318EF">
      <w:pPr>
        <w:snapToGrid w:val="0"/>
        <w:spacing w:before="156" w:line="400" w:lineRule="exact"/>
        <w:ind w:firstLine="422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  <w:lang w:val="zh-CN"/>
        </w:rPr>
        <w:t>一、指导思想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为贯彻落实《中华人民共和国学位条例》、《中华人民共和国高等教育法》、《学位论文作假行为处理办法》（中华人民共和国</w:t>
      </w:r>
      <w:proofErr w:type="gramStart"/>
      <w:r>
        <w:rPr>
          <w:rFonts w:ascii="宋体" w:hAnsi="宋体" w:cs="宋体" w:hint="eastAsia"/>
          <w:kern w:val="0"/>
          <w:szCs w:val="21"/>
          <w:lang w:val="zh-CN"/>
        </w:rPr>
        <w:t>教育部令第</w:t>
      </w:r>
      <w:proofErr w:type="gramEnd"/>
      <w:r>
        <w:rPr>
          <w:rFonts w:ascii="宋体" w:hAnsi="宋体" w:cs="宋体" w:hint="eastAsia"/>
          <w:kern w:val="0"/>
          <w:szCs w:val="21"/>
          <w:lang w:val="zh-CN"/>
        </w:rPr>
        <w:t xml:space="preserve"> 34 号）相关要求，加强对我校本科生毕业论文（设计）</w:t>
      </w:r>
      <w:r>
        <w:rPr>
          <w:rFonts w:ascii="宋体" w:hAnsi="宋体" w:hint="eastAsia"/>
          <w:szCs w:val="21"/>
        </w:rPr>
        <w:t>（以下简称毕业论文）</w:t>
      </w:r>
      <w:r>
        <w:rPr>
          <w:rFonts w:ascii="宋体" w:hAnsi="宋体" w:cs="宋体" w:hint="eastAsia"/>
          <w:kern w:val="0"/>
          <w:szCs w:val="21"/>
          <w:lang w:val="zh-CN"/>
        </w:rPr>
        <w:t>的管理，推进学风建设，制定本办法。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科生毕业论文是学生综合运用所学基础理论、专业知识和基本技能进行科学研究工作的一次集中训练，是培养学生实践能力和创新精神的一个重要实践环节，是学生毕业与学位资格认证的重要依据。学生应当恪守学术道德和学术规范，在指导教师指导下独立完成。为进一步加强学术诚信建设，健全毕业论文审查制度，明确责任，规范程序，加强对学生学术能力的培养、促进学术诚信品质的养成，杜绝学术不端行为，对全部应届毕业生开展论文查重工作。</w:t>
      </w:r>
    </w:p>
    <w:p w:rsidR="00BD74EE" w:rsidRDefault="00BD74EE" w:rsidP="009318EF">
      <w:pPr>
        <w:snapToGrid w:val="0"/>
        <w:spacing w:before="156" w:line="400" w:lineRule="exact"/>
        <w:ind w:firstLine="422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  <w:lang w:val="zh-CN"/>
        </w:rPr>
        <w:t>二、管理机制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1</w:t>
      </w:r>
      <w:r>
        <w:rPr>
          <w:rFonts w:ascii="宋体" w:hAnsi="宋体" w:cs="宋体" w:hint="eastAsia"/>
          <w:kern w:val="0"/>
          <w:szCs w:val="21"/>
          <w:lang w:val="zh-CN"/>
        </w:rPr>
        <w:t>．查重工作由部院系本科生毕业论文工作小组负责。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2</w:t>
      </w:r>
      <w:r>
        <w:rPr>
          <w:rFonts w:ascii="宋体" w:hAnsi="宋体" w:cs="宋体" w:hint="eastAsia"/>
          <w:kern w:val="0"/>
          <w:szCs w:val="21"/>
          <w:lang w:val="zh-CN"/>
        </w:rPr>
        <w:t>．检测系统为“中国知网大学生论文管理系统——</w:t>
      </w:r>
      <w:r>
        <w:rPr>
          <w:rFonts w:ascii="宋体" w:hAnsi="宋体" w:hint="eastAsia"/>
          <w:szCs w:val="21"/>
        </w:rPr>
        <w:t>抄袭检测系统</w:t>
      </w:r>
      <w:r>
        <w:rPr>
          <w:rFonts w:ascii="宋体" w:hAnsi="宋体" w:cs="宋体" w:hint="eastAsia"/>
          <w:kern w:val="0"/>
          <w:szCs w:val="21"/>
          <w:lang w:val="zh-CN"/>
        </w:rPr>
        <w:t>”（</w:t>
      </w:r>
      <w:r>
        <w:rPr>
          <w:rFonts w:ascii="宋体" w:hAnsi="宋体" w:cs="宋体"/>
          <w:kern w:val="0"/>
          <w:szCs w:val="21"/>
          <w:lang w:val="zh-CN"/>
        </w:rPr>
        <w:t>PMLC</w:t>
      </w:r>
      <w:r>
        <w:rPr>
          <w:rFonts w:ascii="宋体" w:hAnsi="宋体" w:cs="宋体" w:hint="eastAsia"/>
          <w:kern w:val="0"/>
          <w:szCs w:val="21"/>
          <w:lang w:val="zh-CN"/>
        </w:rPr>
        <w:t>）。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3</w:t>
      </w:r>
      <w:r>
        <w:rPr>
          <w:rFonts w:ascii="宋体" w:hAnsi="宋体" w:cs="宋体" w:hint="eastAsia"/>
          <w:kern w:val="0"/>
          <w:szCs w:val="21"/>
          <w:lang w:val="zh-CN"/>
        </w:rPr>
        <w:t>．检测范围为所有本科生毕业论文（含双学位毕业论文，留学生毕业论文，不含保密论文）。</w:t>
      </w:r>
    </w:p>
    <w:p w:rsidR="00BD74EE" w:rsidRDefault="00BD74EE" w:rsidP="009318EF">
      <w:pPr>
        <w:snapToGrid w:val="0"/>
        <w:spacing w:before="156" w:line="400" w:lineRule="exact"/>
        <w:ind w:firstLine="422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  <w:lang w:val="zh-CN"/>
        </w:rPr>
        <w:t>三、工作流程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1</w:t>
      </w:r>
      <w:r>
        <w:rPr>
          <w:rFonts w:ascii="宋体" w:hAnsi="宋体" w:cs="宋体" w:hint="eastAsia"/>
          <w:kern w:val="0"/>
          <w:szCs w:val="21"/>
          <w:lang w:val="zh-CN"/>
        </w:rPr>
        <w:t>．各部院系根据专业特点，在学校管理办法框架内，制定本部院系毕业论文查重工作实施细则，明确检测工作流程、时间安排，复制比控制线及检测结果认定和处理办法等。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2</w:t>
      </w:r>
      <w:r>
        <w:rPr>
          <w:rFonts w:ascii="宋体" w:hAnsi="宋体" w:cs="宋体" w:hint="eastAsia"/>
          <w:kern w:val="0"/>
          <w:szCs w:val="21"/>
          <w:lang w:val="zh-CN"/>
        </w:rPr>
        <w:t>．教务处设定各部院系检测</w:t>
      </w:r>
      <w:proofErr w:type="gramStart"/>
      <w:r>
        <w:rPr>
          <w:rFonts w:ascii="宋体" w:hAnsi="宋体" w:cs="宋体" w:hint="eastAsia"/>
          <w:kern w:val="0"/>
          <w:szCs w:val="21"/>
          <w:lang w:val="zh-CN"/>
        </w:rPr>
        <w:t>帐号</w:t>
      </w:r>
      <w:proofErr w:type="gramEnd"/>
      <w:r>
        <w:rPr>
          <w:rFonts w:ascii="宋体" w:hAnsi="宋体" w:cs="宋体" w:hint="eastAsia"/>
          <w:kern w:val="0"/>
          <w:szCs w:val="21"/>
          <w:lang w:val="zh-CN"/>
        </w:rPr>
        <w:t>和密码，并根据需检测学生人数分配检测篇数。部院系将本单位教师名单和毕业生名单导入系统。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3</w:t>
      </w:r>
      <w:r>
        <w:rPr>
          <w:rFonts w:ascii="宋体" w:hAnsi="宋体" w:cs="宋体" w:hint="eastAsia"/>
          <w:kern w:val="0"/>
          <w:szCs w:val="21"/>
          <w:lang w:val="zh-CN"/>
        </w:rPr>
        <w:t>．部院系组织学生对毕业论文进行首次检测，并反馈查重结果。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4</w:t>
      </w:r>
      <w:r>
        <w:rPr>
          <w:rFonts w:ascii="宋体" w:hAnsi="宋体" w:cs="宋体" w:hint="eastAsia"/>
          <w:kern w:val="0"/>
          <w:szCs w:val="21"/>
          <w:lang w:val="zh-CN"/>
        </w:rPr>
        <w:t>．学生针对查重结果，对论文进行修改，指导教师应及时掌握学生检测情况，并对论文修改加以指导。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5．学校将通过“检测系统”平台即时了解全校学生论文检测情况及指导教师审阅、指导情况。</w:t>
      </w:r>
    </w:p>
    <w:p w:rsidR="00BD74EE" w:rsidRDefault="00BD74EE" w:rsidP="009318EF">
      <w:pPr>
        <w:snapToGrid w:val="0"/>
        <w:spacing w:before="156" w:line="400" w:lineRule="exact"/>
        <w:ind w:firstLine="422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  <w:lang w:val="zh-CN"/>
        </w:rPr>
        <w:lastRenderedPageBreak/>
        <w:t>四、查重检测标准及处理办法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1. 首次检测：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所有本科生毕业论文均应参加检测，不能按时提交检测材料的学生，需撰写说明，并被视为放弃首次检测机会；无故不提交检测材料的学生，取消当年毕业论文答辩资格。 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首次检测结果及处理办法：</w:t>
      </w:r>
    </w:p>
    <w:tbl>
      <w:tblPr>
        <w:tblW w:w="81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5542"/>
      </w:tblGrid>
      <w:tr w:rsidR="00BD74EE" w:rsidTr="00AE575C">
        <w:trPr>
          <w:trHeight w:val="337"/>
        </w:trPr>
        <w:tc>
          <w:tcPr>
            <w:tcW w:w="2618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Style w:val="a5"/>
                <w:rFonts w:hint="eastAsia"/>
                <w:sz w:val="21"/>
                <w:szCs w:val="21"/>
              </w:rPr>
              <w:t>检测结果</w:t>
            </w:r>
          </w:p>
        </w:tc>
        <w:tc>
          <w:tcPr>
            <w:tcW w:w="5542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Style w:val="a5"/>
                <w:rFonts w:hint="eastAsia"/>
                <w:sz w:val="21"/>
                <w:szCs w:val="21"/>
              </w:rPr>
              <w:t>处理办法</w:t>
            </w:r>
          </w:p>
        </w:tc>
      </w:tr>
      <w:tr w:rsidR="00BD74EE" w:rsidTr="00AE575C">
        <w:trPr>
          <w:trHeight w:val="337"/>
        </w:trPr>
        <w:tc>
          <w:tcPr>
            <w:tcW w:w="2618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R≤15%</w:t>
            </w:r>
          </w:p>
        </w:tc>
        <w:tc>
          <w:tcPr>
            <w:tcW w:w="5542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轻度重复，无需复检，修改后经导师审查通过进入答辩环节</w:t>
            </w:r>
          </w:p>
        </w:tc>
      </w:tr>
      <w:tr w:rsidR="00BD74EE" w:rsidTr="00AE575C">
        <w:trPr>
          <w:trHeight w:val="337"/>
        </w:trPr>
        <w:tc>
          <w:tcPr>
            <w:tcW w:w="2618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15%＜R≤30%</w:t>
            </w:r>
          </w:p>
        </w:tc>
        <w:tc>
          <w:tcPr>
            <w:tcW w:w="5542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中度重复，修改后复检</w:t>
            </w:r>
          </w:p>
        </w:tc>
      </w:tr>
      <w:tr w:rsidR="00BD74EE" w:rsidTr="00AE575C">
        <w:trPr>
          <w:trHeight w:val="348"/>
        </w:trPr>
        <w:tc>
          <w:tcPr>
            <w:tcW w:w="2618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R＞30%</w:t>
            </w:r>
          </w:p>
        </w:tc>
        <w:tc>
          <w:tcPr>
            <w:tcW w:w="5542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重度重复，修改后须经毕业论文工作小组对修改结果进行认定，是否可以进入复检，否则成绩按“0”分计，重新撰写论文，随下年度答辩</w:t>
            </w:r>
          </w:p>
        </w:tc>
      </w:tr>
    </w:tbl>
    <w:p w:rsidR="00BD74EE" w:rsidRDefault="00BD74EE" w:rsidP="009318EF">
      <w:pPr>
        <w:pStyle w:val="a4"/>
        <w:snapToGrid w:val="0"/>
        <w:spacing w:before="156" w:beforeAutospacing="0" w:after="0" w:afterAutospacing="0" w:line="400" w:lineRule="exact"/>
        <w:ind w:firstLineChars="236" w:firstLine="49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（注：R为文字复制百分比，是指被检测毕业论文（设计）与非本人学术成果的文字重合字数占全文的百分比。） 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2. 复检：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对按规定需要复检的，将检测结果反馈给学生和指导教师，并要求限期修改（最少一周时间）并参加复检。</w:t>
      </w:r>
      <w:proofErr w:type="gramStart"/>
      <w:r>
        <w:rPr>
          <w:rFonts w:ascii="宋体" w:hAnsi="宋体" w:cs="宋体" w:hint="eastAsia"/>
          <w:kern w:val="0"/>
          <w:szCs w:val="21"/>
          <w:lang w:val="zh-CN"/>
        </w:rPr>
        <w:t>复检只</w:t>
      </w:r>
      <w:proofErr w:type="gramEnd"/>
      <w:r>
        <w:rPr>
          <w:rFonts w:ascii="宋体" w:hAnsi="宋体" w:cs="宋体" w:hint="eastAsia"/>
          <w:kern w:val="0"/>
          <w:szCs w:val="21"/>
          <w:lang w:val="zh-CN"/>
        </w:rPr>
        <w:t>进行一次，复检结果参见“复检结果及处理办法”。</w:t>
      </w:r>
    </w:p>
    <w:p w:rsidR="00BD74EE" w:rsidRDefault="00BD74EE" w:rsidP="009318EF">
      <w:pPr>
        <w:pStyle w:val="a4"/>
        <w:snapToGrid w:val="0"/>
        <w:spacing w:before="156" w:beforeAutospacing="0" w:after="0" w:afterAutospacing="0" w:line="400" w:lineRule="exact"/>
        <w:ind w:left="480" w:firstLine="422"/>
        <w:rPr>
          <w:sz w:val="21"/>
          <w:szCs w:val="21"/>
        </w:rPr>
      </w:pPr>
      <w:r>
        <w:rPr>
          <w:rFonts w:hint="eastAsia"/>
          <w:sz w:val="21"/>
          <w:szCs w:val="21"/>
        </w:rPr>
        <w:t>复检结果及处理办法：</w:t>
      </w:r>
    </w:p>
    <w:tbl>
      <w:tblPr>
        <w:tblW w:w="81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443"/>
      </w:tblGrid>
      <w:tr w:rsidR="00BD74EE" w:rsidTr="00A25C57">
        <w:trPr>
          <w:trHeight w:val="420"/>
          <w:jc w:val="center"/>
        </w:trPr>
        <w:tc>
          <w:tcPr>
            <w:tcW w:w="1728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Style w:val="a5"/>
                <w:rFonts w:hint="eastAsia"/>
                <w:sz w:val="21"/>
                <w:szCs w:val="21"/>
              </w:rPr>
              <w:t>复检结果</w:t>
            </w:r>
          </w:p>
        </w:tc>
        <w:tc>
          <w:tcPr>
            <w:tcW w:w="6443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Style w:val="a5"/>
                <w:rFonts w:hint="eastAsia"/>
                <w:sz w:val="21"/>
                <w:szCs w:val="21"/>
              </w:rPr>
              <w:t>处理办法</w:t>
            </w:r>
          </w:p>
        </w:tc>
      </w:tr>
      <w:tr w:rsidR="00BD74EE" w:rsidTr="00A25C57">
        <w:trPr>
          <w:trHeight w:val="420"/>
          <w:jc w:val="center"/>
        </w:trPr>
        <w:tc>
          <w:tcPr>
            <w:tcW w:w="1728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R≤15%</w:t>
            </w:r>
          </w:p>
        </w:tc>
        <w:tc>
          <w:tcPr>
            <w:tcW w:w="6443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通过复检，正常答辩</w:t>
            </w:r>
          </w:p>
        </w:tc>
      </w:tr>
      <w:tr w:rsidR="00BD74EE" w:rsidTr="00A25C57">
        <w:trPr>
          <w:trHeight w:val="433"/>
          <w:jc w:val="center"/>
        </w:trPr>
        <w:tc>
          <w:tcPr>
            <w:tcW w:w="1728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R＞15%</w:t>
            </w:r>
          </w:p>
        </w:tc>
        <w:tc>
          <w:tcPr>
            <w:tcW w:w="6443" w:type="dxa"/>
            <w:vAlign w:val="center"/>
          </w:tcPr>
          <w:p w:rsidR="00BD74EE" w:rsidRDefault="00BD74EE" w:rsidP="00AE575C">
            <w:pPr>
              <w:pStyle w:val="a4"/>
              <w:snapToGrid w:val="0"/>
              <w:spacing w:before="156" w:beforeAutospacing="0" w:after="0" w:afterAutospacing="0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未通过复检，成绩按“0”分计，重新撰写论文，随下年度答辩</w:t>
            </w:r>
          </w:p>
        </w:tc>
      </w:tr>
    </w:tbl>
    <w:p w:rsidR="00BD74EE" w:rsidRDefault="00BD74EE" w:rsidP="009318EF">
      <w:pPr>
        <w:pStyle w:val="a4"/>
        <w:snapToGrid w:val="0"/>
        <w:spacing w:before="156" w:beforeAutospacing="0" w:after="0" w:afterAutospacing="0" w:line="400" w:lineRule="exact"/>
        <w:ind w:firstLineChars="236" w:firstLine="496"/>
        <w:rPr>
          <w:sz w:val="21"/>
          <w:szCs w:val="21"/>
        </w:rPr>
      </w:pPr>
      <w:r>
        <w:rPr>
          <w:rFonts w:hint="eastAsia"/>
          <w:sz w:val="21"/>
          <w:szCs w:val="21"/>
        </w:rPr>
        <w:t>（注：R为文字复制百分比，是指被检测毕业论文（设计）与非本人学术成果的文字重合字数占全文的百分比。）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3. 校级优秀毕业论文的文字复制比不得高于10</w:t>
      </w:r>
      <w:r>
        <w:rPr>
          <w:rFonts w:ascii="宋体" w:hAnsi="宋体" w:cs="宋体"/>
          <w:kern w:val="0"/>
          <w:szCs w:val="21"/>
          <w:lang w:val="zh-CN"/>
        </w:rPr>
        <w:t>%</w:t>
      </w:r>
      <w:r>
        <w:rPr>
          <w:rFonts w:ascii="宋体" w:hAnsi="宋体" w:cs="宋体" w:hint="eastAsia"/>
          <w:kern w:val="0"/>
          <w:szCs w:val="21"/>
          <w:lang w:val="zh-CN"/>
        </w:rPr>
        <w:t>。</w:t>
      </w:r>
    </w:p>
    <w:p w:rsidR="00BD74EE" w:rsidRDefault="00BD74EE" w:rsidP="009318EF">
      <w:pPr>
        <w:snapToGrid w:val="0"/>
        <w:spacing w:before="156" w:line="400" w:lineRule="exact"/>
        <w:ind w:firstLine="422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  <w:lang w:val="zh-CN"/>
        </w:rPr>
        <w:t>五、其他</w:t>
      </w:r>
    </w:p>
    <w:p w:rsidR="00BD74EE" w:rsidRDefault="00BD74EE" w:rsidP="009318EF">
      <w:pPr>
        <w:snapToGrid w:val="0"/>
        <w:spacing w:before="156" w:line="400" w:lineRule="exact"/>
        <w:ind w:firstLine="420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/>
          <w:kern w:val="0"/>
          <w:szCs w:val="21"/>
          <w:lang w:val="zh-CN"/>
        </w:rPr>
        <w:t>1</w:t>
      </w:r>
      <w:r>
        <w:rPr>
          <w:rFonts w:ascii="宋体" w:hAnsi="宋体" w:cs="宋体" w:hint="eastAsia"/>
          <w:kern w:val="0"/>
          <w:szCs w:val="21"/>
          <w:lang w:val="zh-CN"/>
        </w:rPr>
        <w:t>. 学生上传到系统进行检测的毕业论文必须与本人实际论文一致，否则取消答辩资格，指导教师应严格审核把关，各部院系要适时进行抽查对比。</w:t>
      </w:r>
    </w:p>
    <w:p w:rsidR="00AC6DC9" w:rsidRPr="00BD74EE" w:rsidRDefault="00BD74EE" w:rsidP="009318EF">
      <w:pPr>
        <w:snapToGrid w:val="0"/>
        <w:spacing w:before="156" w:line="400" w:lineRule="exact"/>
        <w:ind w:firstLine="420"/>
      </w:pPr>
      <w:r>
        <w:rPr>
          <w:rFonts w:ascii="宋体" w:hAnsi="宋体" w:cs="宋体"/>
          <w:kern w:val="0"/>
          <w:szCs w:val="21"/>
          <w:lang w:val="zh-CN"/>
        </w:rPr>
        <w:t>2</w:t>
      </w:r>
      <w:r>
        <w:rPr>
          <w:rFonts w:ascii="宋体" w:hAnsi="宋体" w:cs="宋体" w:hint="eastAsia"/>
          <w:kern w:val="0"/>
          <w:szCs w:val="21"/>
          <w:lang w:val="zh-CN"/>
        </w:rPr>
        <w:t>. 检测系统只用于本科生的毕业论文检测工作，各部院系应指定专人负责本部院系学生的毕业论文诚信检测工作，所有使用人员在系统使用过程中，须对用户信息、检测内容、检测结果等严格保密，不得将管理账号公开给学生，严禁单位或个人向他人收费检测。</w:t>
      </w:r>
    </w:p>
    <w:sectPr w:rsidR="00AC6DC9" w:rsidRPr="00BD7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B8" w:rsidRDefault="008F2BB8" w:rsidP="00A25C57">
      <w:pPr>
        <w:spacing w:before="120"/>
        <w:ind w:firstLine="420"/>
      </w:pPr>
      <w:r>
        <w:separator/>
      </w:r>
    </w:p>
  </w:endnote>
  <w:endnote w:type="continuationSeparator" w:id="0">
    <w:p w:rsidR="008F2BB8" w:rsidRDefault="008F2BB8" w:rsidP="00A25C57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57" w:rsidRDefault="00A25C57" w:rsidP="00A25C57">
    <w:pPr>
      <w:pStyle w:val="a7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57" w:rsidRDefault="00A25C57" w:rsidP="00A25C57">
    <w:pPr>
      <w:pStyle w:val="a7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57" w:rsidRDefault="00A25C57" w:rsidP="00A25C57">
    <w:pPr>
      <w:pStyle w:val="a7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B8" w:rsidRDefault="008F2BB8" w:rsidP="00A25C57">
      <w:pPr>
        <w:spacing w:before="120"/>
        <w:ind w:firstLine="420"/>
      </w:pPr>
      <w:r>
        <w:separator/>
      </w:r>
    </w:p>
  </w:footnote>
  <w:footnote w:type="continuationSeparator" w:id="0">
    <w:p w:rsidR="008F2BB8" w:rsidRDefault="008F2BB8" w:rsidP="00A25C57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57" w:rsidRDefault="00A25C57" w:rsidP="00A25C57">
    <w:pPr>
      <w:pStyle w:val="a6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57" w:rsidRDefault="00A25C57" w:rsidP="00A25C57">
    <w:pPr>
      <w:pStyle w:val="3"/>
      <w:ind w:firstLine="64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57" w:rsidRDefault="00A25C57" w:rsidP="00A25C57">
    <w:pPr>
      <w:pStyle w:val="a6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EE"/>
    <w:rsid w:val="0028589F"/>
    <w:rsid w:val="005A1B9A"/>
    <w:rsid w:val="008F2BB8"/>
    <w:rsid w:val="009318EF"/>
    <w:rsid w:val="00A25C57"/>
    <w:rsid w:val="00AC6DC9"/>
    <w:rsid w:val="00B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EE"/>
    <w:pPr>
      <w:widowControl w:val="0"/>
      <w:spacing w:beforeLines="50" w:before="5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BD74EE"/>
    <w:pPr>
      <w:keepNext/>
      <w:keepLines/>
      <w:spacing w:before="120" w:after="120"/>
      <w:jc w:val="center"/>
      <w:outlineLvl w:val="2"/>
    </w:pPr>
    <w:rPr>
      <w:rFonts w:ascii="Calibri" w:eastAsia="黑体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D74EE"/>
    <w:rPr>
      <w:rFonts w:ascii="Calibri" w:eastAsia="黑体" w:hAnsi="Calibri" w:cs="Times New Roman"/>
      <w:b/>
      <w:bCs/>
      <w:sz w:val="32"/>
      <w:szCs w:val="32"/>
    </w:rPr>
  </w:style>
  <w:style w:type="paragraph" w:customStyle="1" w:styleId="a3">
    <w:name w:val="编号"/>
    <w:basedOn w:val="a"/>
    <w:rsid w:val="00BD74EE"/>
    <w:pPr>
      <w:widowControl/>
      <w:spacing w:beforeLines="100" w:before="100" w:afterLines="100" w:after="100"/>
      <w:jc w:val="center"/>
    </w:pPr>
    <w:rPr>
      <w:rFonts w:ascii="宋体" w:eastAsia="楷体_GB2312" w:hAnsi="宋体"/>
      <w:bCs/>
      <w:color w:val="000000"/>
      <w:kern w:val="0"/>
    </w:rPr>
  </w:style>
  <w:style w:type="paragraph" w:styleId="a4">
    <w:name w:val="Normal (Web)"/>
    <w:basedOn w:val="a"/>
    <w:uiPriority w:val="99"/>
    <w:unhideWhenUsed/>
    <w:rsid w:val="00BD74EE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BD74EE"/>
    <w:rPr>
      <w:b/>
      <w:bCs/>
    </w:rPr>
  </w:style>
  <w:style w:type="paragraph" w:styleId="a6">
    <w:name w:val="header"/>
    <w:basedOn w:val="a"/>
    <w:link w:val="Char"/>
    <w:uiPriority w:val="99"/>
    <w:unhideWhenUsed/>
    <w:rsid w:val="00A2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5C5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5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5C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EE"/>
    <w:pPr>
      <w:widowControl w:val="0"/>
      <w:spacing w:beforeLines="50" w:before="5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BD74EE"/>
    <w:pPr>
      <w:keepNext/>
      <w:keepLines/>
      <w:spacing w:before="120" w:after="120"/>
      <w:jc w:val="center"/>
      <w:outlineLvl w:val="2"/>
    </w:pPr>
    <w:rPr>
      <w:rFonts w:ascii="Calibri" w:eastAsia="黑体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D74EE"/>
    <w:rPr>
      <w:rFonts w:ascii="Calibri" w:eastAsia="黑体" w:hAnsi="Calibri" w:cs="Times New Roman"/>
      <w:b/>
      <w:bCs/>
      <w:sz w:val="32"/>
      <w:szCs w:val="32"/>
    </w:rPr>
  </w:style>
  <w:style w:type="paragraph" w:customStyle="1" w:styleId="a3">
    <w:name w:val="编号"/>
    <w:basedOn w:val="a"/>
    <w:rsid w:val="00BD74EE"/>
    <w:pPr>
      <w:widowControl/>
      <w:spacing w:beforeLines="100" w:before="100" w:afterLines="100" w:after="100"/>
      <w:jc w:val="center"/>
    </w:pPr>
    <w:rPr>
      <w:rFonts w:ascii="宋体" w:eastAsia="楷体_GB2312" w:hAnsi="宋体"/>
      <w:bCs/>
      <w:color w:val="000000"/>
      <w:kern w:val="0"/>
    </w:rPr>
  </w:style>
  <w:style w:type="paragraph" w:styleId="a4">
    <w:name w:val="Normal (Web)"/>
    <w:basedOn w:val="a"/>
    <w:uiPriority w:val="99"/>
    <w:unhideWhenUsed/>
    <w:rsid w:val="00BD74EE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BD74EE"/>
    <w:rPr>
      <w:b/>
      <w:bCs/>
    </w:rPr>
  </w:style>
  <w:style w:type="paragraph" w:styleId="a6">
    <w:name w:val="header"/>
    <w:basedOn w:val="a"/>
    <w:link w:val="Char"/>
    <w:uiPriority w:val="99"/>
    <w:unhideWhenUsed/>
    <w:rsid w:val="00A2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5C5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5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5C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rln</dc:creator>
  <cp:lastModifiedBy>rln</cp:lastModifiedBy>
  <cp:revision>5</cp:revision>
  <cp:lastPrinted>2018-10-11T03:12:00Z</cp:lastPrinted>
  <dcterms:created xsi:type="dcterms:W3CDTF">2018-10-11T02:03:00Z</dcterms:created>
  <dcterms:modified xsi:type="dcterms:W3CDTF">2018-10-11T03:12:00Z</dcterms:modified>
</cp:coreProperties>
</file>